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12BF" w14:textId="2D3F924A" w:rsidR="00D35ADA" w:rsidRPr="00A26D07" w:rsidRDefault="00D35ADA" w:rsidP="00D35ADA">
      <w:pPr>
        <w:pStyle w:val="Title"/>
        <w:rPr>
          <w:sz w:val="40"/>
          <w:lang w:val="en-GB"/>
        </w:rPr>
      </w:pPr>
      <w:bookmarkStart w:id="0" w:name="_GoBack"/>
      <w:bookmarkEnd w:id="0"/>
      <w:r w:rsidRPr="00A26D07">
        <w:rPr>
          <w:sz w:val="40"/>
          <w:lang w:val="en-GB"/>
        </w:rPr>
        <w:t xml:space="preserve">Q&amp;A on how to handle </w:t>
      </w:r>
      <w:r w:rsidR="00FB3813" w:rsidRPr="00A26D07">
        <w:rPr>
          <w:sz w:val="40"/>
          <w:lang w:val="en-GB"/>
        </w:rPr>
        <w:t xml:space="preserve">ongoing procedures in relation to </w:t>
      </w:r>
      <w:r w:rsidRPr="00A26D07">
        <w:rPr>
          <w:sz w:val="40"/>
          <w:lang w:val="en-GB"/>
        </w:rPr>
        <w:t xml:space="preserve">mandatory eCTD format </w:t>
      </w:r>
    </w:p>
    <w:p w14:paraId="1CA1F1B2" w14:textId="77777777" w:rsidR="00D35ADA" w:rsidRDefault="00D35ADA" w:rsidP="00D35ADA">
      <w:pPr>
        <w:rPr>
          <w:b/>
          <w:bCs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6C87C3E" wp14:editId="64533CB9">
            <wp:extent cx="5760720" cy="96828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F802" w14:textId="0D157235" w:rsidR="00D35ADA" w:rsidRDefault="00D35ADA" w:rsidP="00D35AD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F0509B" w:rsidRPr="00F0509B">
        <w:rPr>
          <w:noProof/>
          <w:lang w:val="en-US" w:eastAsia="sv-SE"/>
        </w:rPr>
        <w:t xml:space="preserve"> </w:t>
      </w:r>
      <w:r w:rsidR="00F0509B">
        <w:rPr>
          <w:noProof/>
          <w:lang w:val="en-GB" w:eastAsia="en-GB"/>
        </w:rPr>
        <w:drawing>
          <wp:inline distT="0" distB="0" distL="0" distR="0" wp14:anchorId="0ACB1314" wp14:editId="263810E8">
            <wp:extent cx="929031" cy="248276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5432" cy="24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84D7C1E" wp14:editId="6FC4336B">
            <wp:extent cx="5810250" cy="284884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6B68" w14:textId="4DF22F36" w:rsidR="00055A3B" w:rsidRDefault="00D35ADA" w:rsidP="001501FF">
      <w:pPr>
        <w:pStyle w:val="BodytextAgency"/>
        <w:rPr>
          <w:lang w:val="en-GB"/>
        </w:rPr>
      </w:pPr>
      <w:r w:rsidRPr="00D35ADA">
        <w:rPr>
          <w:lang w:val="en-GB"/>
        </w:rPr>
        <w:t xml:space="preserve">According to the </w:t>
      </w:r>
      <w:hyperlink r:id="rId12" w:history="1">
        <w:r w:rsidR="00F0509B">
          <w:rPr>
            <w:rStyle w:val="Hyperlink"/>
            <w:bCs/>
            <w:lang w:val="en-GB"/>
          </w:rPr>
          <w:t>EU eSubmission Roadmap</w:t>
        </w:r>
      </w:hyperlink>
      <w:r w:rsidRPr="00D35ADA">
        <w:rPr>
          <w:lang w:val="en-GB"/>
        </w:rPr>
        <w:t xml:space="preserve">, eCTD format </w:t>
      </w:r>
      <w:r w:rsidR="0029179A">
        <w:rPr>
          <w:lang w:val="en-GB"/>
        </w:rPr>
        <w:t>has been</w:t>
      </w:r>
      <w:r w:rsidR="005B7420">
        <w:rPr>
          <w:lang w:val="en-GB"/>
        </w:rPr>
        <w:t xml:space="preserve"> </w:t>
      </w:r>
      <w:r w:rsidRPr="00D35ADA">
        <w:rPr>
          <w:lang w:val="en-GB"/>
        </w:rPr>
        <w:t xml:space="preserve">mandatory for all </w:t>
      </w:r>
      <w:r>
        <w:rPr>
          <w:lang w:val="en-GB"/>
        </w:rPr>
        <w:t xml:space="preserve">MRP submissions (human) </w:t>
      </w:r>
      <w:r w:rsidR="00D12E95">
        <w:rPr>
          <w:lang w:val="en-GB"/>
        </w:rPr>
        <w:t xml:space="preserve">since </w:t>
      </w:r>
      <w:r>
        <w:rPr>
          <w:lang w:val="en-GB"/>
        </w:rPr>
        <w:t>1 January 2018</w:t>
      </w:r>
      <w:r w:rsidR="00335B16">
        <w:rPr>
          <w:lang w:val="en-GB"/>
        </w:rPr>
        <w:t xml:space="preserve"> and will be mandatory for all submissions </w:t>
      </w:r>
      <w:r w:rsidR="005211C9">
        <w:rPr>
          <w:lang w:val="en-GB"/>
        </w:rPr>
        <w:t xml:space="preserve">(human) </w:t>
      </w:r>
      <w:r w:rsidR="00335B16">
        <w:rPr>
          <w:lang w:val="en-GB"/>
        </w:rPr>
        <w:t>in</w:t>
      </w:r>
      <w:r w:rsidR="0029179A">
        <w:rPr>
          <w:lang w:val="en-GB"/>
        </w:rPr>
        <w:t xml:space="preserve"> the</w:t>
      </w:r>
      <w:r w:rsidR="00335B16">
        <w:rPr>
          <w:lang w:val="en-GB"/>
        </w:rPr>
        <w:t xml:space="preserve"> National Procedures from 1 January 2019</w:t>
      </w:r>
      <w:r>
        <w:rPr>
          <w:lang w:val="en-GB"/>
        </w:rPr>
        <w:t>.</w:t>
      </w:r>
      <w:r w:rsidR="003063F2">
        <w:rPr>
          <w:rStyle w:val="FootnoteReference"/>
          <w:bCs/>
          <w:lang w:val="en-GB"/>
        </w:rPr>
        <w:footnoteReference w:id="1"/>
      </w:r>
      <w:r>
        <w:rPr>
          <w:lang w:val="en-GB"/>
        </w:rPr>
        <w:t xml:space="preserve"> </w:t>
      </w:r>
    </w:p>
    <w:p w14:paraId="512AC322" w14:textId="58612BC2" w:rsidR="00966F24" w:rsidRDefault="00055A3B" w:rsidP="00D35ADA">
      <w:pPr>
        <w:rPr>
          <w:b/>
          <w:bCs/>
          <w:sz w:val="28"/>
          <w:lang w:val="en-GB"/>
        </w:rPr>
      </w:pPr>
      <w:r w:rsidRPr="00D35ADA">
        <w:rPr>
          <w:b/>
          <w:bCs/>
          <w:sz w:val="28"/>
          <w:lang w:val="en-GB"/>
        </w:rPr>
        <w:t>Question</w:t>
      </w:r>
      <w:r w:rsidR="00966F24">
        <w:rPr>
          <w:b/>
          <w:bCs/>
          <w:sz w:val="28"/>
          <w:lang w:val="en-GB"/>
        </w:rPr>
        <w:t>s</w:t>
      </w:r>
    </w:p>
    <w:p w14:paraId="4E3813EC" w14:textId="75CF10D9" w:rsidR="00966F24" w:rsidRPr="001501FF" w:rsidRDefault="00055A3B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 xml:space="preserve">Is </w:t>
      </w:r>
      <w:r w:rsidR="00E1125B" w:rsidRPr="00966F24">
        <w:rPr>
          <w:lang w:val="en-GB"/>
        </w:rPr>
        <w:t xml:space="preserve">the </w:t>
      </w:r>
      <w:r w:rsidRPr="00966F24">
        <w:rPr>
          <w:lang w:val="en-GB"/>
        </w:rPr>
        <w:t xml:space="preserve">mandatory use of eCTD </w:t>
      </w:r>
      <w:r w:rsidR="00E1125B" w:rsidRPr="00966F24">
        <w:rPr>
          <w:lang w:val="en-GB"/>
        </w:rPr>
        <w:t xml:space="preserve">in MRP/DCP </w:t>
      </w:r>
      <w:r w:rsidRPr="00966F24">
        <w:rPr>
          <w:lang w:val="en-GB"/>
        </w:rPr>
        <w:t>also applicable to</w:t>
      </w:r>
      <w:r w:rsidR="00D35ADA" w:rsidRPr="00966F24">
        <w:rPr>
          <w:lang w:val="en-GB"/>
        </w:rPr>
        <w:t xml:space="preserve"> submissions </w:t>
      </w:r>
      <w:r w:rsidR="005B7420" w:rsidRPr="00966F24">
        <w:rPr>
          <w:lang w:val="en-GB"/>
        </w:rPr>
        <w:t>for</w:t>
      </w:r>
      <w:r w:rsidR="00D35ADA" w:rsidRPr="00966F24">
        <w:rPr>
          <w:lang w:val="en-GB"/>
        </w:rPr>
        <w:t xml:space="preserve"> ongoing regulatory activities</w:t>
      </w:r>
      <w:r w:rsidR="00CA13FA" w:rsidRPr="00966F24">
        <w:rPr>
          <w:lang w:val="en-GB"/>
        </w:rPr>
        <w:t xml:space="preserve"> that started up in NeeS or other non-eCTD formats</w:t>
      </w:r>
      <w:r w:rsidR="005B7420" w:rsidRPr="00966F24">
        <w:rPr>
          <w:lang w:val="en-GB"/>
        </w:rPr>
        <w:t xml:space="preserve"> (e.g. </w:t>
      </w:r>
      <w:r w:rsidR="00485B5B" w:rsidRPr="00966F24">
        <w:rPr>
          <w:lang w:val="en-GB"/>
        </w:rPr>
        <w:t xml:space="preserve">for the </w:t>
      </w:r>
      <w:r w:rsidR="005B7420" w:rsidRPr="00966F24">
        <w:rPr>
          <w:lang w:val="en-GB"/>
        </w:rPr>
        <w:t>responses</w:t>
      </w:r>
      <w:r w:rsidR="00485B5B" w:rsidRPr="00966F24">
        <w:rPr>
          <w:lang w:val="en-GB"/>
        </w:rPr>
        <w:t xml:space="preserve"> in ongoing procedures</w:t>
      </w:r>
      <w:r w:rsidR="005B7420" w:rsidRPr="00966F24">
        <w:rPr>
          <w:lang w:val="en-GB"/>
        </w:rPr>
        <w:t>)</w:t>
      </w:r>
      <w:r w:rsidR="00D35ADA" w:rsidRPr="00966F24">
        <w:rPr>
          <w:lang w:val="en-GB"/>
        </w:rPr>
        <w:t>?</w:t>
      </w:r>
    </w:p>
    <w:p w14:paraId="005774E4" w14:textId="53FFC9E2" w:rsidR="00485B5B" w:rsidRPr="001501FF" w:rsidRDefault="005B7420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>If so, i</w:t>
      </w:r>
      <w:r w:rsidR="008E6FA1" w:rsidRPr="00966F24">
        <w:rPr>
          <w:lang w:val="en-GB"/>
        </w:rPr>
        <w:t xml:space="preserve">s </w:t>
      </w:r>
      <w:r w:rsidRPr="00966F24">
        <w:rPr>
          <w:lang w:val="en-GB"/>
        </w:rPr>
        <w:t>this</w:t>
      </w:r>
      <w:r w:rsidR="008E6FA1" w:rsidRPr="00966F24">
        <w:rPr>
          <w:lang w:val="en-GB"/>
        </w:rPr>
        <w:t xml:space="preserve"> applicable to all submission types, e.g.</w:t>
      </w:r>
      <w:r w:rsidR="00942263" w:rsidRPr="00966F24">
        <w:rPr>
          <w:lang w:val="en-GB"/>
        </w:rPr>
        <w:t xml:space="preserve"> new MAAs, renewals and variations</w:t>
      </w:r>
      <w:r w:rsidR="008E6FA1" w:rsidRPr="00966F24">
        <w:rPr>
          <w:lang w:val="en-GB"/>
        </w:rPr>
        <w:t>?</w:t>
      </w:r>
    </w:p>
    <w:p w14:paraId="15206AB5" w14:textId="02A35896" w:rsidR="00D35ADA" w:rsidRPr="00966F24" w:rsidRDefault="00485B5B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>I</w:t>
      </w:r>
      <w:r w:rsidR="00055A3B" w:rsidRPr="00966F24">
        <w:rPr>
          <w:lang w:val="en-GB"/>
        </w:rPr>
        <w:t xml:space="preserve">s </w:t>
      </w:r>
      <w:r w:rsidR="00E1125B" w:rsidRPr="00966F24">
        <w:rPr>
          <w:lang w:val="en-GB"/>
        </w:rPr>
        <w:t>th</w:t>
      </w:r>
      <w:r w:rsidR="00966F24" w:rsidRPr="00966F24">
        <w:rPr>
          <w:lang w:val="en-GB"/>
        </w:rPr>
        <w:t>e same handling</w:t>
      </w:r>
      <w:r w:rsidR="00055A3B" w:rsidRPr="00966F24">
        <w:rPr>
          <w:lang w:val="en-GB"/>
        </w:rPr>
        <w:t xml:space="preserve"> </w:t>
      </w:r>
      <w:r w:rsidRPr="00966F24">
        <w:rPr>
          <w:lang w:val="en-GB"/>
        </w:rPr>
        <w:t xml:space="preserve">applicable </w:t>
      </w:r>
      <w:r w:rsidR="00966F24" w:rsidRPr="00966F24">
        <w:rPr>
          <w:lang w:val="en-GB"/>
        </w:rPr>
        <w:t xml:space="preserve">also </w:t>
      </w:r>
      <w:r w:rsidR="00055A3B" w:rsidRPr="00966F24">
        <w:rPr>
          <w:lang w:val="en-GB"/>
        </w:rPr>
        <w:t xml:space="preserve">for </w:t>
      </w:r>
      <w:r w:rsidRPr="00966F24">
        <w:rPr>
          <w:lang w:val="en-GB"/>
        </w:rPr>
        <w:t xml:space="preserve">ongoing </w:t>
      </w:r>
      <w:r w:rsidR="00E1125B" w:rsidRPr="00966F24">
        <w:rPr>
          <w:lang w:val="en-GB"/>
        </w:rPr>
        <w:t xml:space="preserve">regulatory activities within </w:t>
      </w:r>
      <w:r w:rsidR="00055A3B" w:rsidRPr="00966F24">
        <w:rPr>
          <w:lang w:val="en-GB"/>
        </w:rPr>
        <w:t>National Procedures?</w:t>
      </w:r>
    </w:p>
    <w:p w14:paraId="7E6ED4C3" w14:textId="05CFF652" w:rsidR="00D35ADA" w:rsidRDefault="00D35ADA" w:rsidP="00D35ADA">
      <w:pPr>
        <w:rPr>
          <w:b/>
          <w:bCs/>
          <w:sz w:val="28"/>
          <w:lang w:val="en-GB"/>
        </w:rPr>
      </w:pPr>
      <w:r w:rsidRPr="00D35ADA">
        <w:rPr>
          <w:b/>
          <w:bCs/>
          <w:sz w:val="28"/>
          <w:lang w:val="en-GB"/>
        </w:rPr>
        <w:t>Answer</w:t>
      </w:r>
    </w:p>
    <w:p w14:paraId="0FA192EB" w14:textId="3E2A6EF1" w:rsidR="00E1125B" w:rsidRDefault="00CA13FA" w:rsidP="001501FF">
      <w:pPr>
        <w:pStyle w:val="BodytextAgency"/>
        <w:rPr>
          <w:lang w:val="en-GB"/>
        </w:rPr>
      </w:pPr>
      <w:r>
        <w:rPr>
          <w:lang w:val="en-GB"/>
        </w:rPr>
        <w:t xml:space="preserve">Yes, </w:t>
      </w:r>
      <w:r w:rsidR="00335B16">
        <w:rPr>
          <w:lang w:val="en-GB"/>
        </w:rPr>
        <w:t xml:space="preserve">the mandatory use </w:t>
      </w:r>
      <w:r w:rsidR="00E1125B">
        <w:rPr>
          <w:lang w:val="en-GB"/>
        </w:rPr>
        <w:t xml:space="preserve">of eCTD in </w:t>
      </w:r>
      <w:r w:rsidR="00E1125B" w:rsidRPr="00E1125B">
        <w:rPr>
          <w:b/>
          <w:lang w:val="en-GB"/>
        </w:rPr>
        <w:t>MRP/DCP</w:t>
      </w:r>
      <w:r w:rsidR="00E1125B">
        <w:rPr>
          <w:lang w:val="en-GB"/>
        </w:rPr>
        <w:t xml:space="preserve"> </w:t>
      </w:r>
      <w:r w:rsidR="00335B16">
        <w:rPr>
          <w:lang w:val="en-GB"/>
        </w:rPr>
        <w:t xml:space="preserve">is </w:t>
      </w:r>
      <w:r w:rsidR="005B7420">
        <w:rPr>
          <w:lang w:val="en-GB"/>
        </w:rPr>
        <w:t xml:space="preserve">also </w:t>
      </w:r>
      <w:r w:rsidR="00335B16">
        <w:rPr>
          <w:lang w:val="en-GB"/>
        </w:rPr>
        <w:t xml:space="preserve">applicable </w:t>
      </w:r>
      <w:r w:rsidR="005B7420">
        <w:rPr>
          <w:lang w:val="en-GB"/>
        </w:rPr>
        <w:t xml:space="preserve">to </w:t>
      </w:r>
      <w:r w:rsidR="00335B16" w:rsidRPr="00E1125B">
        <w:rPr>
          <w:b/>
          <w:lang w:val="en-GB"/>
        </w:rPr>
        <w:t>ongoing</w:t>
      </w:r>
      <w:r w:rsidR="00E1125B">
        <w:rPr>
          <w:b/>
          <w:lang w:val="en-GB"/>
        </w:rPr>
        <w:t xml:space="preserve"> regulatory activities</w:t>
      </w:r>
      <w:r w:rsidR="00485B5B" w:rsidRPr="00E1125B">
        <w:rPr>
          <w:b/>
          <w:lang w:val="en-GB"/>
        </w:rPr>
        <w:t xml:space="preserve"> </w:t>
      </w:r>
      <w:r w:rsidR="005B7420">
        <w:rPr>
          <w:lang w:val="en-GB"/>
        </w:rPr>
        <w:t>even if</w:t>
      </w:r>
      <w:r w:rsidR="002C749F">
        <w:rPr>
          <w:lang w:val="en-GB"/>
        </w:rPr>
        <w:t xml:space="preserve"> </w:t>
      </w:r>
      <w:r w:rsidR="00E1125B">
        <w:rPr>
          <w:lang w:val="en-GB"/>
        </w:rPr>
        <w:t>the activity started in non-</w:t>
      </w:r>
      <w:r w:rsidR="002C749F">
        <w:rPr>
          <w:lang w:val="en-GB"/>
        </w:rPr>
        <w:t>eCTD format</w:t>
      </w:r>
      <w:r w:rsidR="00E1125B">
        <w:rPr>
          <w:lang w:val="en-GB"/>
        </w:rPr>
        <w:t>.</w:t>
      </w:r>
      <w:r w:rsidR="00223A0B">
        <w:rPr>
          <w:lang w:val="en-GB"/>
        </w:rPr>
        <w:t xml:space="preserve"> Th</w:t>
      </w:r>
      <w:r w:rsidR="0029179A">
        <w:rPr>
          <w:lang w:val="en-GB"/>
        </w:rPr>
        <w:t>is applies to</w:t>
      </w:r>
      <w:r w:rsidR="005B7420">
        <w:rPr>
          <w:lang w:val="en-GB"/>
        </w:rPr>
        <w:t xml:space="preserve"> all submission types</w:t>
      </w:r>
      <w:r w:rsidR="002C749F">
        <w:rPr>
          <w:lang w:val="en-GB"/>
        </w:rPr>
        <w:t>.</w:t>
      </w:r>
    </w:p>
    <w:p w14:paraId="4C3703D8" w14:textId="2C99A889" w:rsidR="00CA13FA" w:rsidRDefault="00611936" w:rsidP="001501FF">
      <w:pPr>
        <w:pStyle w:val="BodytextAgency"/>
        <w:rPr>
          <w:lang w:val="en-GB"/>
        </w:rPr>
      </w:pPr>
      <w:r>
        <w:rPr>
          <w:lang w:val="en-GB"/>
        </w:rPr>
        <w:t xml:space="preserve">This means that </w:t>
      </w:r>
      <w:r w:rsidR="006C286A">
        <w:rPr>
          <w:lang w:val="en-GB"/>
        </w:rPr>
        <w:t>submissions related to ongoing activities</w:t>
      </w:r>
      <w:r>
        <w:rPr>
          <w:bCs/>
          <w:lang w:val="en-GB"/>
        </w:rPr>
        <w:t xml:space="preserve"> (e.g</w:t>
      </w:r>
      <w:r w:rsidR="006C286A" w:rsidRPr="006C286A">
        <w:rPr>
          <w:bCs/>
          <w:lang w:val="en-GB"/>
        </w:rPr>
        <w:t>. responses or follow up submissions for variations, renewals</w:t>
      </w:r>
      <w:r>
        <w:rPr>
          <w:bCs/>
          <w:lang w:val="en-GB"/>
        </w:rPr>
        <w:t xml:space="preserve"> or</w:t>
      </w:r>
      <w:r w:rsidR="006C286A" w:rsidRPr="006C286A">
        <w:rPr>
          <w:bCs/>
          <w:lang w:val="en-GB"/>
        </w:rPr>
        <w:t xml:space="preserve"> new MAAs)</w:t>
      </w:r>
      <w:r>
        <w:rPr>
          <w:bCs/>
          <w:lang w:val="en-GB"/>
        </w:rPr>
        <w:t xml:space="preserve"> should</w:t>
      </w:r>
      <w:r w:rsidR="00E67A2D">
        <w:rPr>
          <w:bCs/>
          <w:lang w:val="en-GB"/>
        </w:rPr>
        <w:t xml:space="preserve"> </w:t>
      </w:r>
      <w:r>
        <w:rPr>
          <w:bCs/>
          <w:lang w:val="en-GB"/>
        </w:rPr>
        <w:t>be submitted in eCTD format</w:t>
      </w:r>
      <w:r w:rsidR="00EF7463">
        <w:rPr>
          <w:bCs/>
          <w:lang w:val="en-GB"/>
        </w:rPr>
        <w:t>,</w:t>
      </w:r>
      <w:r>
        <w:rPr>
          <w:bCs/>
          <w:lang w:val="en-GB"/>
        </w:rPr>
        <w:t xml:space="preserve"> even if this means </w:t>
      </w:r>
      <w:r w:rsidR="008E6FA1">
        <w:rPr>
          <w:bCs/>
          <w:lang w:val="en-GB"/>
        </w:rPr>
        <w:t>a</w:t>
      </w:r>
      <w:r>
        <w:rPr>
          <w:bCs/>
          <w:lang w:val="en-GB"/>
        </w:rPr>
        <w:t xml:space="preserve"> format shift of the dossier</w:t>
      </w:r>
      <w:r w:rsidR="00E67A2D">
        <w:rPr>
          <w:bCs/>
          <w:lang w:val="en-GB"/>
        </w:rPr>
        <w:t xml:space="preserve"> at that time</w:t>
      </w:r>
      <w:r w:rsidR="00CA13FA">
        <w:rPr>
          <w:lang w:val="en-GB"/>
        </w:rPr>
        <w:t>.</w:t>
      </w:r>
      <w:r w:rsidR="00840378">
        <w:rPr>
          <w:rStyle w:val="FootnoteReference"/>
          <w:rFonts w:ascii="Calibri" w:hAnsi="Calibri"/>
          <w:sz w:val="22"/>
          <w:szCs w:val="22"/>
          <w:lang w:val="en-GB"/>
        </w:rPr>
        <w:footnoteReference w:id="2"/>
      </w:r>
      <w:r w:rsidR="00CA13FA">
        <w:rPr>
          <w:lang w:val="en-GB"/>
        </w:rPr>
        <w:t xml:space="preserve"> </w:t>
      </w:r>
    </w:p>
    <w:p w14:paraId="7D6CCD14" w14:textId="77777777" w:rsidR="00223A0B" w:rsidRDefault="00223A0B" w:rsidP="001501FF">
      <w:pPr>
        <w:pStyle w:val="BodytextAgency"/>
        <w:rPr>
          <w:lang w:val="en-GB"/>
        </w:rPr>
      </w:pPr>
    </w:p>
    <w:p w14:paraId="32DA17EF" w14:textId="0BA31009" w:rsidR="00453BFF" w:rsidRDefault="00223A0B" w:rsidP="001501FF">
      <w:pPr>
        <w:pStyle w:val="BodytextAgency"/>
        <w:rPr>
          <w:lang w:val="en-GB"/>
        </w:rPr>
      </w:pPr>
      <w:r>
        <w:rPr>
          <w:lang w:val="en-GB"/>
        </w:rPr>
        <w:t>On the contrary</w:t>
      </w:r>
      <w:r w:rsidR="00BF3F8E">
        <w:rPr>
          <w:lang w:val="en-GB"/>
        </w:rPr>
        <w:t>,</w:t>
      </w:r>
      <w:r w:rsidR="00BF3F8E" w:rsidRPr="00E1125B">
        <w:rPr>
          <w:lang w:val="en-GB"/>
        </w:rPr>
        <w:t xml:space="preserve"> for</w:t>
      </w:r>
      <w:r w:rsidR="00BF3F8E" w:rsidRPr="00E1125B">
        <w:rPr>
          <w:b/>
          <w:lang w:val="en-GB"/>
        </w:rPr>
        <w:t xml:space="preserve"> National P</w:t>
      </w:r>
      <w:r w:rsidRPr="00E1125B">
        <w:rPr>
          <w:b/>
          <w:lang w:val="en-GB"/>
        </w:rPr>
        <w:t>rocedures</w:t>
      </w:r>
      <w:r w:rsidR="00BF3F8E">
        <w:rPr>
          <w:lang w:val="en-GB"/>
        </w:rPr>
        <w:t xml:space="preserve"> (NP)</w:t>
      </w:r>
      <w:r>
        <w:rPr>
          <w:lang w:val="en-GB"/>
        </w:rPr>
        <w:t xml:space="preserve">, the applicant </w:t>
      </w:r>
      <w:r w:rsidR="003F5A53">
        <w:rPr>
          <w:lang w:val="en-GB"/>
        </w:rPr>
        <w:t>is recommended</w:t>
      </w:r>
      <w:r w:rsidR="00453BFF">
        <w:rPr>
          <w:lang w:val="en-GB"/>
        </w:rPr>
        <w:t xml:space="preserve"> to </w:t>
      </w:r>
      <w:r w:rsidR="00840378">
        <w:rPr>
          <w:lang w:val="en-GB"/>
        </w:rPr>
        <w:t xml:space="preserve">continue to </w:t>
      </w:r>
      <w:r w:rsidR="00453BFF">
        <w:rPr>
          <w:lang w:val="en-GB"/>
        </w:rPr>
        <w:t>handle</w:t>
      </w:r>
      <w:r>
        <w:rPr>
          <w:lang w:val="en-GB"/>
        </w:rPr>
        <w:t xml:space="preserve"> </w:t>
      </w:r>
      <w:r w:rsidRPr="001D357B">
        <w:rPr>
          <w:b/>
          <w:lang w:val="en-GB"/>
        </w:rPr>
        <w:t>ongoing</w:t>
      </w:r>
      <w:r w:rsidRPr="001D357B">
        <w:rPr>
          <w:lang w:val="en-GB"/>
        </w:rPr>
        <w:t xml:space="preserve"> </w:t>
      </w:r>
      <w:r w:rsidR="00E1125B" w:rsidRPr="001D357B">
        <w:rPr>
          <w:b/>
          <w:lang w:val="en-GB"/>
        </w:rPr>
        <w:t>regulatory</w:t>
      </w:r>
      <w:r w:rsidR="00E1125B" w:rsidRPr="001D357B">
        <w:rPr>
          <w:lang w:val="en-GB"/>
        </w:rPr>
        <w:t xml:space="preserve"> </w:t>
      </w:r>
      <w:r w:rsidR="00F732AF" w:rsidRPr="001D357B">
        <w:rPr>
          <w:b/>
          <w:lang w:val="en-GB"/>
        </w:rPr>
        <w:t>activities</w:t>
      </w:r>
      <w:r w:rsidR="00453BFF" w:rsidRPr="00453BFF">
        <w:rPr>
          <w:b/>
          <w:lang w:val="en-GB"/>
        </w:rPr>
        <w:t xml:space="preserve"> </w:t>
      </w:r>
      <w:r w:rsidR="00453BFF">
        <w:rPr>
          <w:lang w:val="en-GB"/>
        </w:rPr>
        <w:t xml:space="preserve">in non-eCTD format, even after </w:t>
      </w:r>
      <w:r w:rsidR="00BF3F8E">
        <w:rPr>
          <w:lang w:val="en-GB"/>
        </w:rPr>
        <w:t xml:space="preserve">the </w:t>
      </w:r>
      <w:r w:rsidR="00453BFF">
        <w:rPr>
          <w:lang w:val="en-GB"/>
        </w:rPr>
        <w:t>introduction of mandatory eCTD</w:t>
      </w:r>
      <w:r w:rsidR="00F732AF">
        <w:rPr>
          <w:lang w:val="en-GB"/>
        </w:rPr>
        <w:t xml:space="preserve"> </w:t>
      </w:r>
      <w:r w:rsidR="00BF3F8E">
        <w:rPr>
          <w:lang w:val="en-GB"/>
        </w:rPr>
        <w:t xml:space="preserve">in NP </w:t>
      </w:r>
      <w:r w:rsidR="00F732AF">
        <w:rPr>
          <w:lang w:val="en-GB"/>
        </w:rPr>
        <w:t>by 1 January</w:t>
      </w:r>
      <w:r>
        <w:rPr>
          <w:lang w:val="en-GB"/>
        </w:rPr>
        <w:t xml:space="preserve">. </w:t>
      </w:r>
    </w:p>
    <w:p w14:paraId="6C64395E" w14:textId="14DF0457" w:rsidR="008D1C80" w:rsidRDefault="00223A0B" w:rsidP="001501FF">
      <w:pPr>
        <w:pStyle w:val="BodytextAgency"/>
        <w:rPr>
          <w:lang w:val="en-GB"/>
        </w:rPr>
      </w:pPr>
      <w:r>
        <w:rPr>
          <w:lang w:val="en-GB"/>
        </w:rPr>
        <w:t xml:space="preserve">However, when </w:t>
      </w:r>
      <w:r w:rsidR="00453BFF">
        <w:rPr>
          <w:lang w:val="en-GB"/>
        </w:rPr>
        <w:t>a new regulatory activity is started</w:t>
      </w:r>
      <w:r w:rsidR="00840378">
        <w:rPr>
          <w:lang w:val="en-GB"/>
        </w:rPr>
        <w:t xml:space="preserve"> within NP after 1 January 2019</w:t>
      </w:r>
      <w:r w:rsidR="00453BFF">
        <w:rPr>
          <w:lang w:val="en-GB"/>
        </w:rPr>
        <w:t xml:space="preserve">, it should be submitted in eCTD format and all following </w:t>
      </w:r>
      <w:r>
        <w:rPr>
          <w:lang w:val="en-GB"/>
        </w:rPr>
        <w:t xml:space="preserve">submissions for that </w:t>
      </w:r>
      <w:r w:rsidR="00453BFF">
        <w:rPr>
          <w:lang w:val="en-GB"/>
        </w:rPr>
        <w:t xml:space="preserve">product </w:t>
      </w:r>
      <w:r>
        <w:rPr>
          <w:lang w:val="en-GB"/>
        </w:rPr>
        <w:t>dossier should</w:t>
      </w:r>
      <w:r w:rsidR="00453BFF">
        <w:rPr>
          <w:lang w:val="en-GB"/>
        </w:rPr>
        <w:t xml:space="preserve"> then</w:t>
      </w:r>
      <w:r>
        <w:rPr>
          <w:lang w:val="en-GB"/>
        </w:rPr>
        <w:t xml:space="preserve"> </w:t>
      </w:r>
      <w:r w:rsidR="00453BFF">
        <w:rPr>
          <w:lang w:val="en-GB"/>
        </w:rPr>
        <w:t xml:space="preserve">always </w:t>
      </w:r>
      <w:r>
        <w:rPr>
          <w:lang w:val="en-GB"/>
        </w:rPr>
        <w:t>b</w:t>
      </w:r>
      <w:r w:rsidR="00453BFF">
        <w:rPr>
          <w:lang w:val="en-GB"/>
        </w:rPr>
        <w:t xml:space="preserve">e submitted in eCTD format. This would </w:t>
      </w:r>
      <w:r w:rsidR="00F732AF">
        <w:rPr>
          <w:lang w:val="en-GB"/>
        </w:rPr>
        <w:t xml:space="preserve">also </w:t>
      </w:r>
      <w:r w:rsidR="00453BFF">
        <w:rPr>
          <w:lang w:val="en-GB"/>
        </w:rPr>
        <w:t>apply to</w:t>
      </w:r>
      <w:r>
        <w:rPr>
          <w:lang w:val="en-GB"/>
        </w:rPr>
        <w:t xml:space="preserve"> </w:t>
      </w:r>
      <w:r w:rsidR="00453BFF">
        <w:rPr>
          <w:lang w:val="en-GB"/>
        </w:rPr>
        <w:t xml:space="preserve">subsequent submissions </w:t>
      </w:r>
      <w:r>
        <w:rPr>
          <w:lang w:val="en-GB"/>
        </w:rPr>
        <w:t xml:space="preserve">for </w:t>
      </w:r>
      <w:r w:rsidR="00840378">
        <w:rPr>
          <w:lang w:val="en-GB"/>
        </w:rPr>
        <w:t>any</w:t>
      </w:r>
      <w:r>
        <w:rPr>
          <w:lang w:val="en-GB"/>
        </w:rPr>
        <w:t xml:space="preserve"> ongoing procedures</w:t>
      </w:r>
      <w:r w:rsidR="00453BFF">
        <w:rPr>
          <w:lang w:val="en-GB"/>
        </w:rPr>
        <w:t xml:space="preserve"> concerning the same product dossier</w:t>
      </w:r>
      <w:r>
        <w:rPr>
          <w:lang w:val="en-GB"/>
        </w:rPr>
        <w:t>.</w:t>
      </w:r>
    </w:p>
    <w:p w14:paraId="626A9246" w14:textId="6306C514" w:rsidR="007D55CB" w:rsidRPr="007D55CB" w:rsidRDefault="007D55CB" w:rsidP="00D35ADA">
      <w:pPr>
        <w:pStyle w:val="Default"/>
        <w:rPr>
          <w:rFonts w:ascii="Calibri" w:hAnsi="Calibri"/>
          <w:b/>
          <w:color w:val="auto"/>
          <w:sz w:val="22"/>
          <w:szCs w:val="22"/>
          <w:u w:val="single"/>
          <w:lang w:val="en-GB"/>
        </w:rPr>
      </w:pPr>
      <w:r w:rsidRPr="007D55CB">
        <w:rPr>
          <w:rFonts w:ascii="Calibri" w:hAnsi="Calibri"/>
          <w:b/>
          <w:color w:val="auto"/>
          <w:sz w:val="22"/>
          <w:szCs w:val="22"/>
          <w:u w:val="single"/>
          <w:lang w:val="en-GB"/>
        </w:rPr>
        <w:t>How to handle related sequences</w:t>
      </w:r>
    </w:p>
    <w:p w14:paraId="60D0EFC8" w14:textId="77777777" w:rsidR="00CA13FA" w:rsidRDefault="00CA13FA" w:rsidP="00D35ADA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Applicants are reminded to use the </w:t>
      </w:r>
      <w:r w:rsidR="00D35ADA" w:rsidRPr="00CA13FA">
        <w:rPr>
          <w:rFonts w:ascii="Calibri" w:hAnsi="Calibri"/>
          <w:b/>
          <w:color w:val="auto"/>
          <w:sz w:val="22"/>
          <w:szCs w:val="22"/>
          <w:lang w:val="en-GB"/>
        </w:rPr>
        <w:t>&lt;related-sequence&gt; element</w:t>
      </w:r>
      <w:r w:rsidR="00D35ADA">
        <w:rPr>
          <w:rFonts w:ascii="Calibri" w:hAnsi="Calibri"/>
          <w:color w:val="auto"/>
          <w:sz w:val="22"/>
          <w:szCs w:val="22"/>
          <w:lang w:val="en-GB"/>
        </w:rPr>
        <w:t xml:space="preserve"> in the EU Env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elope </w:t>
      </w:r>
      <w:r w:rsidR="002C749F">
        <w:rPr>
          <w:rFonts w:ascii="Calibri" w:hAnsi="Calibri"/>
          <w:color w:val="auto"/>
          <w:sz w:val="22"/>
          <w:szCs w:val="22"/>
          <w:lang w:val="en-GB"/>
        </w:rPr>
        <w:t xml:space="preserve">appropriately </w:t>
      </w:r>
      <w:r>
        <w:rPr>
          <w:rFonts w:ascii="Calibri" w:hAnsi="Calibri"/>
          <w:color w:val="auto"/>
          <w:sz w:val="22"/>
          <w:szCs w:val="22"/>
          <w:lang w:val="en-GB"/>
        </w:rPr>
        <w:t>for the first and the following submissions for each regulatory activity</w:t>
      </w:r>
      <w:r w:rsidR="00EF7463">
        <w:rPr>
          <w:rFonts w:ascii="Calibri" w:hAnsi="Calibri"/>
          <w:color w:val="auto"/>
          <w:sz w:val="22"/>
          <w:szCs w:val="22"/>
          <w:lang w:val="en-GB"/>
        </w:rPr>
        <w:t xml:space="preserve"> as stated in the eCTD M1 specification</w:t>
      </w:r>
      <w:r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6DABA487" w14:textId="57C5A302" w:rsidR="00EF7463" w:rsidRPr="00EF7463" w:rsidRDefault="005B7420" w:rsidP="001501FF">
      <w:pPr>
        <w:pStyle w:val="BodytextAgency"/>
        <w:rPr>
          <w:lang w:val="en-GB"/>
        </w:rPr>
      </w:pPr>
      <w:r>
        <w:rPr>
          <w:lang w:val="en-GB"/>
        </w:rPr>
        <w:lastRenderedPageBreak/>
        <w:t>However, i</w:t>
      </w:r>
      <w:r w:rsidR="00FD54BA" w:rsidRPr="00EF7463">
        <w:rPr>
          <w:lang w:val="en-GB"/>
        </w:rPr>
        <w:t xml:space="preserve">f the </w:t>
      </w:r>
      <w:r w:rsidR="00EF7463" w:rsidRPr="00EF7463">
        <w:rPr>
          <w:lang w:val="en-GB"/>
        </w:rPr>
        <w:t>change to</w:t>
      </w:r>
      <w:r w:rsidR="00FD54BA" w:rsidRPr="00EF7463">
        <w:rPr>
          <w:lang w:val="en-GB"/>
        </w:rPr>
        <w:t xml:space="preserve"> eCTD format is </w:t>
      </w:r>
      <w:r w:rsidR="00EF7463" w:rsidRPr="00EF7463">
        <w:rPr>
          <w:lang w:val="en-GB"/>
        </w:rPr>
        <w:t xml:space="preserve">done </w:t>
      </w:r>
      <w:r w:rsidR="00F62B7C">
        <w:rPr>
          <w:lang w:val="en-GB"/>
        </w:rPr>
        <w:t>after</w:t>
      </w:r>
      <w:r w:rsidR="00EF7463" w:rsidRPr="00EF7463">
        <w:rPr>
          <w:lang w:val="en-GB"/>
        </w:rPr>
        <w:t xml:space="preserve"> </w:t>
      </w:r>
      <w:r w:rsidR="00FD54BA" w:rsidRPr="00EF7463">
        <w:rPr>
          <w:lang w:val="en-GB"/>
        </w:rPr>
        <w:t>a regulatory activity</w:t>
      </w:r>
      <w:r w:rsidR="00F62B7C">
        <w:rPr>
          <w:lang w:val="en-GB"/>
        </w:rPr>
        <w:t xml:space="preserve"> has already been started in another format</w:t>
      </w:r>
      <w:r w:rsidR="00FD54BA" w:rsidRPr="00EF7463">
        <w:rPr>
          <w:lang w:val="en-GB"/>
        </w:rPr>
        <w:t xml:space="preserve">, </w:t>
      </w:r>
      <w:r w:rsidR="00EF7463" w:rsidRPr="00EF7463">
        <w:rPr>
          <w:lang w:val="en-GB"/>
        </w:rPr>
        <w:t>it would obviously not be possible to use the &lt;related sequence&gt; attribute correctly, since the start of the regulatory activity is not present as an eCTD sequence to refer to</w:t>
      </w:r>
      <w:r w:rsidR="00F62B7C">
        <w:rPr>
          <w:lang w:val="en-GB"/>
        </w:rPr>
        <w:t xml:space="preserve"> </w:t>
      </w:r>
      <w:r w:rsidR="00F62B7C" w:rsidRPr="00F62B7C">
        <w:rPr>
          <w:lang w:val="en-GB"/>
        </w:rPr>
        <w:t xml:space="preserve">(i.e. there will be no ‘initial’ sequence in the lifecycle).  In these cases, </w:t>
      </w:r>
      <w:r w:rsidR="002C749F">
        <w:rPr>
          <w:lang w:val="en-GB"/>
        </w:rPr>
        <w:t xml:space="preserve">a technical validation </w:t>
      </w:r>
      <w:r w:rsidR="00BD09CF">
        <w:rPr>
          <w:lang w:val="en-GB"/>
        </w:rPr>
        <w:t xml:space="preserve">would </w:t>
      </w:r>
      <w:r w:rsidR="002C749F">
        <w:rPr>
          <w:lang w:val="en-GB"/>
        </w:rPr>
        <w:t xml:space="preserve">result in a </w:t>
      </w:r>
      <w:r w:rsidR="00D12E95">
        <w:rPr>
          <w:lang w:val="en-GB"/>
        </w:rPr>
        <w:t>P/F</w:t>
      </w:r>
      <w:r w:rsidR="008E0920">
        <w:rPr>
          <w:lang w:val="en-GB"/>
        </w:rPr>
        <w:t xml:space="preserve"> </w:t>
      </w:r>
      <w:r w:rsidR="00D12E95">
        <w:rPr>
          <w:lang w:val="en-GB"/>
        </w:rPr>
        <w:t>validation</w:t>
      </w:r>
      <w:r w:rsidR="00382461">
        <w:rPr>
          <w:lang w:val="en-GB"/>
        </w:rPr>
        <w:t xml:space="preserve"> issue</w:t>
      </w:r>
      <w:r w:rsidR="008D1C80">
        <w:rPr>
          <w:lang w:val="en-GB"/>
        </w:rPr>
        <w:t xml:space="preserve"> </w:t>
      </w:r>
      <w:r w:rsidR="001F668E">
        <w:rPr>
          <w:lang w:val="en-GB"/>
        </w:rPr>
        <w:t xml:space="preserve">(criteria 14.7) </w:t>
      </w:r>
      <w:r w:rsidR="008D1C80">
        <w:rPr>
          <w:lang w:val="en-GB"/>
        </w:rPr>
        <w:t>and</w:t>
      </w:r>
      <w:r w:rsidR="00382461" w:rsidRPr="00382461">
        <w:rPr>
          <w:rFonts w:cs="Times New Roman"/>
          <w:lang w:val="en-GB"/>
        </w:rPr>
        <w:t xml:space="preserve"> </w:t>
      </w:r>
      <w:r w:rsidR="00382461" w:rsidRPr="00382461">
        <w:rPr>
          <w:lang w:val="en-GB"/>
        </w:rPr>
        <w:t>additional aspects need to be considered to avoid</w:t>
      </w:r>
      <w:r w:rsidR="00382461">
        <w:rPr>
          <w:lang w:val="en-GB"/>
        </w:rPr>
        <w:t xml:space="preserve"> </w:t>
      </w:r>
      <w:r w:rsidR="00382461" w:rsidRPr="00382461">
        <w:rPr>
          <w:lang w:val="en-GB"/>
        </w:rPr>
        <w:t>technical invalidation with rejection</w:t>
      </w:r>
    </w:p>
    <w:p w14:paraId="3AE5FB8C" w14:textId="28656F0E" w:rsidR="00F62B7C" w:rsidRDefault="00F62B7C" w:rsidP="00F62B7C">
      <w:pPr>
        <w:rPr>
          <w:lang w:val="en-GB"/>
        </w:rPr>
      </w:pPr>
    </w:p>
    <w:tbl>
      <w:tblPr>
        <w:tblW w:w="91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19"/>
        <w:gridCol w:w="5670"/>
        <w:gridCol w:w="1134"/>
      </w:tblGrid>
      <w:tr w:rsidR="00F62B7C" w14:paraId="594BED92" w14:textId="77777777" w:rsidTr="00BE786D">
        <w:trPr>
          <w:trHeight w:val="114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3E3B" w14:textId="77777777" w:rsidR="00F62B7C" w:rsidRDefault="00F62B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2A9B" w14:textId="77777777" w:rsidR="00F62B7C" w:rsidRDefault="00F62B7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Envelope Attributes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7FF6" w14:textId="77777777" w:rsidR="00F62B7C" w:rsidRDefault="00F62B7C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If the submission unit type is not equal to ‘initial’ or ‘reformat' then the entry for related sequence must not be equal to the value for the current sequence.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B963" w14:textId="77777777" w:rsidR="00F62B7C" w:rsidRDefault="00F62B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P/F</w:t>
            </w:r>
          </w:p>
        </w:tc>
      </w:tr>
    </w:tbl>
    <w:p w14:paraId="50E5D560" w14:textId="77777777" w:rsidR="00BB33F2" w:rsidRDefault="00BB33F2" w:rsidP="0020521D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p w14:paraId="1C37ADD3" w14:textId="56622960" w:rsidR="008F0D04" w:rsidRDefault="00556D65" w:rsidP="001501FF">
      <w:pPr>
        <w:pStyle w:val="BodytextAgency"/>
        <w:rPr>
          <w:lang w:val="en-GB"/>
        </w:rPr>
      </w:pPr>
      <w:r>
        <w:rPr>
          <w:lang w:val="en-GB"/>
        </w:rPr>
        <w:t xml:space="preserve">In these cases, the documents that started the activity and any updates to the activity that were earlier submitted in other formats should be </w:t>
      </w:r>
      <w:r w:rsidRPr="005B7420">
        <w:rPr>
          <w:b/>
          <w:lang w:val="en-GB"/>
        </w:rPr>
        <w:t>resubmitted as an eCTD sequence ‘0000’</w:t>
      </w:r>
      <w:r>
        <w:rPr>
          <w:lang w:val="en-GB"/>
        </w:rPr>
        <w:t xml:space="preserve">. </w:t>
      </w:r>
      <w:r w:rsidR="00F62B7C">
        <w:rPr>
          <w:lang w:val="en-GB"/>
        </w:rPr>
        <w:t>Then</w:t>
      </w:r>
      <w:r w:rsidR="008F0D04">
        <w:rPr>
          <w:lang w:val="en-GB"/>
        </w:rPr>
        <w:t xml:space="preserve"> the response (or other follow up) documents </w:t>
      </w:r>
      <w:r>
        <w:rPr>
          <w:lang w:val="en-GB"/>
        </w:rPr>
        <w:t xml:space="preserve">for that same activity </w:t>
      </w:r>
      <w:r w:rsidR="00F62B7C">
        <w:rPr>
          <w:lang w:val="en-GB"/>
        </w:rPr>
        <w:t xml:space="preserve">should be placed </w:t>
      </w:r>
      <w:r w:rsidR="008F0D04">
        <w:rPr>
          <w:lang w:val="en-GB"/>
        </w:rPr>
        <w:t xml:space="preserve">in a separate </w:t>
      </w:r>
      <w:r w:rsidR="008E0920">
        <w:rPr>
          <w:lang w:val="en-GB"/>
        </w:rPr>
        <w:t xml:space="preserve">new </w:t>
      </w:r>
      <w:r w:rsidR="008F0D04">
        <w:rPr>
          <w:lang w:val="en-GB"/>
        </w:rPr>
        <w:t>sequence ‘0001’</w:t>
      </w:r>
      <w:r w:rsidR="00F62B7C">
        <w:rPr>
          <w:lang w:val="en-GB"/>
        </w:rPr>
        <w:t xml:space="preserve"> and be related to the </w:t>
      </w:r>
      <w:r>
        <w:rPr>
          <w:lang w:val="en-GB"/>
        </w:rPr>
        <w:t>starting sequence for that activity (‘0000’)</w:t>
      </w:r>
      <w:r w:rsidR="008F0D04">
        <w:rPr>
          <w:lang w:val="en-GB"/>
        </w:rPr>
        <w:t>.</w:t>
      </w:r>
      <w:r>
        <w:rPr>
          <w:lang w:val="en-GB"/>
        </w:rPr>
        <w:t xml:space="preserve"> </w:t>
      </w:r>
      <w:r w:rsidR="008F0D04" w:rsidRPr="00AC53AA">
        <w:rPr>
          <w:lang w:val="en-GB"/>
        </w:rPr>
        <w:t>It should be clearly st</w:t>
      </w:r>
      <w:r w:rsidR="008B6B75">
        <w:rPr>
          <w:lang w:val="en-GB"/>
        </w:rPr>
        <w:t xml:space="preserve">ated in the cover letter of the “resubmission </w:t>
      </w:r>
      <w:r w:rsidR="00D14CBE">
        <w:rPr>
          <w:lang w:val="en-GB"/>
        </w:rPr>
        <w:t>sequence</w:t>
      </w:r>
      <w:r w:rsidR="008B6B75">
        <w:rPr>
          <w:lang w:val="en-GB"/>
        </w:rPr>
        <w:t>”</w:t>
      </w:r>
      <w:r w:rsidR="00F33F45">
        <w:rPr>
          <w:lang w:val="en-GB"/>
        </w:rPr>
        <w:t xml:space="preserve"> </w:t>
      </w:r>
      <w:r>
        <w:rPr>
          <w:lang w:val="en-GB"/>
        </w:rPr>
        <w:t xml:space="preserve">for the ongoing regulatory activity </w:t>
      </w:r>
      <w:r w:rsidR="00F33F45">
        <w:rPr>
          <w:lang w:val="en-GB"/>
        </w:rPr>
        <w:t>that the content of the p</w:t>
      </w:r>
      <w:r w:rsidR="008F0D04" w:rsidRPr="00AC53AA">
        <w:rPr>
          <w:lang w:val="en-GB"/>
        </w:rPr>
        <w:t xml:space="preserve">reviously submitted </w:t>
      </w:r>
      <w:r>
        <w:rPr>
          <w:lang w:val="en-GB"/>
        </w:rPr>
        <w:t>documents</w:t>
      </w:r>
      <w:r w:rsidRPr="00AC53AA">
        <w:rPr>
          <w:lang w:val="en-GB"/>
        </w:rPr>
        <w:t xml:space="preserve"> </w:t>
      </w:r>
      <w:r w:rsidR="008F0D04" w:rsidRPr="00AC53AA">
        <w:rPr>
          <w:lang w:val="en-GB"/>
        </w:rPr>
        <w:t>has not been changed, only the format.</w:t>
      </w:r>
      <w:r w:rsidR="00F62B7C">
        <w:rPr>
          <w:lang w:val="en-GB"/>
        </w:rPr>
        <w:t xml:space="preserve"> </w:t>
      </w:r>
    </w:p>
    <w:p w14:paraId="1F144B59" w14:textId="77777777" w:rsidR="008F0D04" w:rsidRDefault="008F0D04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p w14:paraId="65095B00" w14:textId="32F4F49B" w:rsidR="001F668E" w:rsidRDefault="001F668E" w:rsidP="001501FF">
      <w:pPr>
        <w:pStyle w:val="BodytextAgency"/>
        <w:rPr>
          <w:lang w:val="en-GB"/>
        </w:rPr>
      </w:pPr>
      <w:r>
        <w:rPr>
          <w:lang w:val="en-GB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  <w:gridCol w:w="1843"/>
      </w:tblGrid>
      <w:tr w:rsidR="008F0D04" w:rsidRPr="008E0920" w14:paraId="08D5D0E3" w14:textId="77777777" w:rsidTr="001F668E">
        <w:tc>
          <w:tcPr>
            <w:tcW w:w="1384" w:type="dxa"/>
          </w:tcPr>
          <w:p w14:paraId="689B6B0C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Sequence Number</w:t>
            </w:r>
          </w:p>
        </w:tc>
        <w:tc>
          <w:tcPr>
            <w:tcW w:w="2300" w:type="dxa"/>
          </w:tcPr>
          <w:p w14:paraId="2D66A3C5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Description</w:t>
            </w:r>
          </w:p>
        </w:tc>
        <w:tc>
          <w:tcPr>
            <w:tcW w:w="1842" w:type="dxa"/>
          </w:tcPr>
          <w:p w14:paraId="55A5926F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Type</w:t>
            </w:r>
          </w:p>
        </w:tc>
        <w:tc>
          <w:tcPr>
            <w:tcW w:w="1843" w:type="dxa"/>
          </w:tcPr>
          <w:p w14:paraId="4BEF8C4F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Related Sequence</w:t>
            </w:r>
          </w:p>
        </w:tc>
        <w:tc>
          <w:tcPr>
            <w:tcW w:w="1843" w:type="dxa"/>
          </w:tcPr>
          <w:p w14:paraId="3FE68053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Unit Type</w:t>
            </w:r>
          </w:p>
        </w:tc>
      </w:tr>
      <w:tr w:rsidR="008F0D04" w:rsidRPr="008E0920" w14:paraId="513D3042" w14:textId="77777777" w:rsidTr="001F668E">
        <w:tc>
          <w:tcPr>
            <w:tcW w:w="1384" w:type="dxa"/>
          </w:tcPr>
          <w:p w14:paraId="0DBB5B0D" w14:textId="77777777" w:rsidR="008F0D04" w:rsidRDefault="008F0D04" w:rsidP="0020521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2300" w:type="dxa"/>
          </w:tcPr>
          <w:p w14:paraId="67A0B93E" w14:textId="77777777" w:rsidR="008F0D04" w:rsidRDefault="008E0920" w:rsidP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e.g. </w:t>
            </w:r>
            <w:r w:rsidR="00556D6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Resubmission of Type II ASMF update variation </w:t>
            </w:r>
          </w:p>
        </w:tc>
        <w:tc>
          <w:tcPr>
            <w:tcW w:w="1842" w:type="dxa"/>
          </w:tcPr>
          <w:p w14:paraId="1BEF7038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  <w:tc>
          <w:tcPr>
            <w:tcW w:w="1843" w:type="dxa"/>
          </w:tcPr>
          <w:p w14:paraId="4BB0CF03" w14:textId="77777777" w:rsidR="008F0D04" w:rsidRDefault="008F0D0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5902888B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</w:tr>
      <w:tr w:rsidR="008F0D04" w:rsidRPr="008E0920" w14:paraId="39A9CC17" w14:textId="77777777" w:rsidTr="001F668E">
        <w:tc>
          <w:tcPr>
            <w:tcW w:w="1384" w:type="dxa"/>
          </w:tcPr>
          <w:p w14:paraId="3371462B" w14:textId="77777777" w:rsidR="008F0D04" w:rsidRDefault="008F0D04" w:rsidP="0020521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2300" w:type="dxa"/>
          </w:tcPr>
          <w:p w14:paraId="1B9DB292" w14:textId="77777777" w:rsidR="008F0D04" w:rsidRDefault="008F0D04" w:rsidP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Response</w:t>
            </w:r>
            <w:r w:rsidR="00556D6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 to Type II ASMF update variation</w:t>
            </w:r>
          </w:p>
        </w:tc>
        <w:tc>
          <w:tcPr>
            <w:tcW w:w="1842" w:type="dxa"/>
          </w:tcPr>
          <w:p w14:paraId="0BD84171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‘var-type2’</w:t>
            </w:r>
          </w:p>
        </w:tc>
        <w:tc>
          <w:tcPr>
            <w:tcW w:w="1843" w:type="dxa"/>
          </w:tcPr>
          <w:p w14:paraId="02533A96" w14:textId="77777777" w:rsidR="008F0D04" w:rsidRDefault="008F0D0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4DFB3840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‘r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esponse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</w:tr>
    </w:tbl>
    <w:p w14:paraId="70ECB98C" w14:textId="0EDA380C" w:rsidR="00D14674" w:rsidRDefault="00556D65" w:rsidP="001501FF">
      <w:pPr>
        <w:pStyle w:val="BodytextAgency"/>
        <w:rPr>
          <w:lang w:val="en-GB"/>
        </w:rPr>
      </w:pPr>
      <w:r>
        <w:rPr>
          <w:lang w:val="en-GB"/>
        </w:rPr>
        <w:t>Applicants are also recommended, but not obliged, to move over to eCTD format by submission of a baseline sequence for the current approved dossier. If th</w:t>
      </w:r>
      <w:r w:rsidR="0029179A">
        <w:rPr>
          <w:lang w:val="en-GB"/>
        </w:rPr>
        <w:t>is</w:t>
      </w:r>
      <w:r>
        <w:rPr>
          <w:lang w:val="en-GB"/>
        </w:rPr>
        <w:t xml:space="preserve"> is done, the above-mentioned scenario should also be followed for any ongoing regulatory activities in separate sequences.</w:t>
      </w:r>
      <w:r w:rsidR="00D14674">
        <w:rPr>
          <w:lang w:val="en-GB"/>
        </w:rPr>
        <w:t xml:space="preserve"> </w:t>
      </w:r>
    </w:p>
    <w:p w14:paraId="7A589D78" w14:textId="349E0984" w:rsidR="001F668E" w:rsidRDefault="001F668E" w:rsidP="001501FF">
      <w:pPr>
        <w:pStyle w:val="BodytextAgency"/>
        <w:rPr>
          <w:lang w:val="en-GB"/>
        </w:rPr>
      </w:pPr>
      <w:r>
        <w:rPr>
          <w:lang w:val="en-GB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  <w:gridCol w:w="1843"/>
      </w:tblGrid>
      <w:tr w:rsidR="00556D65" w:rsidRPr="008E0920" w14:paraId="0B67B3DC" w14:textId="77777777" w:rsidTr="001F668E">
        <w:tc>
          <w:tcPr>
            <w:tcW w:w="1384" w:type="dxa"/>
          </w:tcPr>
          <w:p w14:paraId="57DF907C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Sequence Number</w:t>
            </w:r>
          </w:p>
        </w:tc>
        <w:tc>
          <w:tcPr>
            <w:tcW w:w="2300" w:type="dxa"/>
          </w:tcPr>
          <w:p w14:paraId="36B6BDD6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Description</w:t>
            </w:r>
          </w:p>
        </w:tc>
        <w:tc>
          <w:tcPr>
            <w:tcW w:w="1842" w:type="dxa"/>
          </w:tcPr>
          <w:p w14:paraId="1B9D9DF3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Type</w:t>
            </w:r>
          </w:p>
        </w:tc>
        <w:tc>
          <w:tcPr>
            <w:tcW w:w="1843" w:type="dxa"/>
          </w:tcPr>
          <w:p w14:paraId="08C139A4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Related Sequence</w:t>
            </w:r>
          </w:p>
        </w:tc>
        <w:tc>
          <w:tcPr>
            <w:tcW w:w="1843" w:type="dxa"/>
          </w:tcPr>
          <w:p w14:paraId="77CCEB31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Unit Type</w:t>
            </w:r>
          </w:p>
        </w:tc>
      </w:tr>
      <w:tr w:rsidR="00556D65" w:rsidRPr="008E0920" w14:paraId="042873C4" w14:textId="77777777" w:rsidTr="001F668E">
        <w:tc>
          <w:tcPr>
            <w:tcW w:w="1384" w:type="dxa"/>
          </w:tcPr>
          <w:p w14:paraId="246BB88B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2300" w:type="dxa"/>
          </w:tcPr>
          <w:p w14:paraId="53937A1F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Baseline module 3</w:t>
            </w:r>
          </w:p>
        </w:tc>
        <w:tc>
          <w:tcPr>
            <w:tcW w:w="1842" w:type="dxa"/>
          </w:tcPr>
          <w:p w14:paraId="5BC0D7F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843" w:type="dxa"/>
          </w:tcPr>
          <w:p w14:paraId="102B1839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604CFA3A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</w:p>
        </w:tc>
      </w:tr>
      <w:tr w:rsidR="00556D65" w:rsidRPr="008E0920" w14:paraId="5918B937" w14:textId="77777777" w:rsidTr="001F668E">
        <w:tc>
          <w:tcPr>
            <w:tcW w:w="1384" w:type="dxa"/>
          </w:tcPr>
          <w:p w14:paraId="1EEDE0E0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2300" w:type="dxa"/>
          </w:tcPr>
          <w:p w14:paraId="26D8AD78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Resubmission of Type II ASMF update variation</w:t>
            </w:r>
          </w:p>
        </w:tc>
        <w:tc>
          <w:tcPr>
            <w:tcW w:w="1842" w:type="dxa"/>
          </w:tcPr>
          <w:p w14:paraId="6183A1F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843" w:type="dxa"/>
          </w:tcPr>
          <w:p w14:paraId="11EA7F78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1843" w:type="dxa"/>
          </w:tcPr>
          <w:p w14:paraId="6C28CB2C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</w:p>
          <w:p w14:paraId="74075A1B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556D65" w:rsidRPr="008E0920" w14:paraId="18653F90" w14:textId="77777777" w:rsidTr="001F668E">
        <w:tc>
          <w:tcPr>
            <w:tcW w:w="1384" w:type="dxa"/>
          </w:tcPr>
          <w:p w14:paraId="2486531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0002</w:t>
            </w:r>
          </w:p>
        </w:tc>
        <w:tc>
          <w:tcPr>
            <w:tcW w:w="2300" w:type="dxa"/>
          </w:tcPr>
          <w:p w14:paraId="502F5B19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Response for Type II ASMF update variation</w:t>
            </w:r>
          </w:p>
        </w:tc>
        <w:tc>
          <w:tcPr>
            <w:tcW w:w="1842" w:type="dxa"/>
          </w:tcPr>
          <w:p w14:paraId="43C6A693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‘var-type2’</w:t>
            </w:r>
          </w:p>
        </w:tc>
        <w:tc>
          <w:tcPr>
            <w:tcW w:w="1843" w:type="dxa"/>
          </w:tcPr>
          <w:p w14:paraId="36F11CBC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1843" w:type="dxa"/>
          </w:tcPr>
          <w:p w14:paraId="5AE82F23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response</w:t>
            </w:r>
          </w:p>
        </w:tc>
      </w:tr>
    </w:tbl>
    <w:p w14:paraId="0EB10233" w14:textId="77777777" w:rsidR="00587EFD" w:rsidRDefault="00D14674" w:rsidP="001501FF">
      <w:pPr>
        <w:pStyle w:val="BodytextAgency"/>
        <w:rPr>
          <w:rStyle w:val="Hyperlink"/>
          <w:rFonts w:ascii="Calibri" w:hAnsi="Calibri"/>
          <w:sz w:val="22"/>
          <w:szCs w:val="22"/>
          <w:lang w:val="en-GB"/>
        </w:rPr>
      </w:pPr>
      <w:r>
        <w:rPr>
          <w:lang w:val="en-GB"/>
        </w:rPr>
        <w:t>A baseline would also be accepted later in the lifecycle</w:t>
      </w:r>
      <w:r w:rsidR="00A841CE">
        <w:rPr>
          <w:lang w:val="en-GB"/>
        </w:rPr>
        <w:t>.</w:t>
      </w:r>
      <w:r>
        <w:rPr>
          <w:lang w:val="en-GB"/>
        </w:rPr>
        <w:t xml:space="preserve"> </w:t>
      </w:r>
      <w:r w:rsidR="0020521D">
        <w:rPr>
          <w:lang w:val="en-GB"/>
        </w:rPr>
        <w:t xml:space="preserve">For detailed </w:t>
      </w:r>
      <w:r w:rsidR="00F62B7C">
        <w:rPr>
          <w:lang w:val="en-GB"/>
        </w:rPr>
        <w:t>guidance</w:t>
      </w:r>
      <w:r w:rsidR="00453E42">
        <w:rPr>
          <w:lang w:val="en-GB"/>
        </w:rPr>
        <w:t xml:space="preserve"> on </w:t>
      </w:r>
      <w:r w:rsidR="00E97C78">
        <w:rPr>
          <w:lang w:val="en-GB"/>
        </w:rPr>
        <w:t xml:space="preserve">that and on </w:t>
      </w:r>
      <w:r w:rsidR="00453E42">
        <w:rPr>
          <w:lang w:val="en-GB"/>
        </w:rPr>
        <w:t>baselines</w:t>
      </w:r>
      <w:r w:rsidR="00E97C78">
        <w:rPr>
          <w:lang w:val="en-GB"/>
        </w:rPr>
        <w:t xml:space="preserve"> in general</w:t>
      </w:r>
      <w:r w:rsidR="00F62B7C">
        <w:rPr>
          <w:lang w:val="en-GB"/>
        </w:rPr>
        <w:t>, please refer to</w:t>
      </w:r>
      <w:r w:rsidR="0020521D">
        <w:rPr>
          <w:lang w:val="en-GB"/>
        </w:rPr>
        <w:t xml:space="preserve"> the</w:t>
      </w:r>
      <w:r w:rsidR="00D14CBE" w:rsidRPr="00EF7463">
        <w:rPr>
          <w:lang w:val="en-GB"/>
        </w:rPr>
        <w:t xml:space="preserve"> </w:t>
      </w:r>
      <w:hyperlink r:id="rId13" w:history="1">
        <w:r w:rsidR="00D14CBE" w:rsidRPr="00EF7463">
          <w:rPr>
            <w:rStyle w:val="Hyperlink"/>
            <w:rFonts w:ascii="Calibri" w:hAnsi="Calibri"/>
            <w:sz w:val="22"/>
            <w:szCs w:val="22"/>
            <w:lang w:val="en-GB"/>
          </w:rPr>
          <w:t>EU Harmonised Technical eCTD Guidance</w:t>
        </w:r>
      </w:hyperlink>
      <w:r w:rsidR="00A841CE">
        <w:rPr>
          <w:rStyle w:val="Hyperlink"/>
          <w:rFonts w:ascii="Calibri" w:hAnsi="Calibri"/>
          <w:sz w:val="22"/>
          <w:szCs w:val="22"/>
          <w:lang w:val="en-GB"/>
        </w:rPr>
        <w:t xml:space="preserve"> chapter 2.12</w:t>
      </w:r>
      <w:r>
        <w:rPr>
          <w:rStyle w:val="Hyperlink"/>
          <w:rFonts w:ascii="Calibri" w:hAnsi="Calibri"/>
          <w:sz w:val="22"/>
          <w:szCs w:val="22"/>
          <w:lang w:val="en-GB"/>
        </w:rPr>
        <w:t>.</w:t>
      </w:r>
    </w:p>
    <w:p w14:paraId="6A30375B" w14:textId="77777777" w:rsidR="00827FF7" w:rsidRDefault="00827FF7" w:rsidP="00D35ADA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sectPr w:rsidR="00827FF7" w:rsidSect="00827FF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7F05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BD659" w14:textId="77777777" w:rsidR="00DD61A6" w:rsidRDefault="00DD61A6" w:rsidP="00827FF7">
      <w:r>
        <w:separator/>
      </w:r>
    </w:p>
  </w:endnote>
  <w:endnote w:type="continuationSeparator" w:id="0">
    <w:p w14:paraId="79B21BF6" w14:textId="77777777" w:rsidR="00DD61A6" w:rsidRDefault="00DD61A6" w:rsidP="0082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94B5" w14:textId="77777777" w:rsidR="00DD61A6" w:rsidRDefault="00DD61A6" w:rsidP="00827FF7">
      <w:r>
        <w:separator/>
      </w:r>
    </w:p>
  </w:footnote>
  <w:footnote w:type="continuationSeparator" w:id="0">
    <w:p w14:paraId="05037ACC" w14:textId="77777777" w:rsidR="00DD61A6" w:rsidRDefault="00DD61A6" w:rsidP="00827FF7">
      <w:r>
        <w:continuationSeparator/>
      </w:r>
    </w:p>
  </w:footnote>
  <w:footnote w:id="1">
    <w:p w14:paraId="3B59DD62" w14:textId="58C6A515" w:rsidR="003063F2" w:rsidRPr="003063F2" w:rsidRDefault="003063F2" w:rsidP="00840378">
      <w:pPr>
        <w:rPr>
          <w:lang w:val="en-US"/>
        </w:rPr>
      </w:pPr>
      <w:r>
        <w:rPr>
          <w:rStyle w:val="FootnoteReference"/>
        </w:rPr>
        <w:footnoteRef/>
      </w:r>
      <w:r w:rsidRPr="003063F2">
        <w:rPr>
          <w:lang w:val="en-US"/>
        </w:rPr>
        <w:t xml:space="preserve"> </w:t>
      </w:r>
      <w:r w:rsidRPr="00827FF7">
        <w:rPr>
          <w:i/>
          <w:sz w:val="18"/>
          <w:lang w:val="en-US"/>
        </w:rPr>
        <w:t>As for registrations according to article 14 or 16a of Directive 2001/83/EC (simplified registration procedure either for homeopathic medicinal products or traditional herba</w:t>
      </w:r>
      <w:r>
        <w:rPr>
          <w:i/>
          <w:sz w:val="18"/>
          <w:lang w:val="en-US"/>
        </w:rPr>
        <w:t>l medicinal products), the time</w:t>
      </w:r>
      <w:r w:rsidRPr="00827FF7">
        <w:rPr>
          <w:i/>
          <w:sz w:val="18"/>
          <w:lang w:val="en-US"/>
        </w:rPr>
        <w:t>lines of the eSubmission Roadmap are considered optional. Please refer to regional guidance of the member states.</w:t>
      </w:r>
    </w:p>
  </w:footnote>
  <w:footnote w:id="2">
    <w:p w14:paraId="6502A02B" w14:textId="23E69ABA" w:rsidR="00840378" w:rsidRPr="00840378" w:rsidRDefault="00840378">
      <w:pPr>
        <w:pStyle w:val="FootnoteText"/>
        <w:rPr>
          <w:i/>
          <w:sz w:val="18"/>
          <w:szCs w:val="22"/>
          <w:lang w:val="en-US"/>
        </w:rPr>
      </w:pPr>
      <w:r>
        <w:rPr>
          <w:rStyle w:val="FootnoteReference"/>
        </w:rPr>
        <w:footnoteRef/>
      </w:r>
      <w:r w:rsidRPr="00840378">
        <w:rPr>
          <w:lang w:val="en-US"/>
        </w:rPr>
        <w:t xml:space="preserve"> </w:t>
      </w:r>
      <w:r w:rsidRPr="00840378">
        <w:rPr>
          <w:i/>
          <w:sz w:val="18"/>
          <w:szCs w:val="22"/>
          <w:lang w:val="en-US"/>
        </w:rPr>
        <w:t xml:space="preserve">It is acknowledged that this is a contradiction of the recommendations set out in the </w:t>
      </w:r>
      <w:hyperlink r:id="rId1" w:history="1">
        <w:proofErr w:type="spellStart"/>
        <w:r w:rsidRPr="00840378">
          <w:rPr>
            <w:i/>
            <w:sz w:val="18"/>
            <w:lang w:val="en-US"/>
          </w:rPr>
          <w:t>Harmonised</w:t>
        </w:r>
        <w:proofErr w:type="spellEnd"/>
        <w:r w:rsidRPr="00840378">
          <w:rPr>
            <w:i/>
            <w:sz w:val="18"/>
            <w:lang w:val="en-US"/>
          </w:rPr>
          <w:t xml:space="preserve"> eCTD technical guidance</w:t>
        </w:r>
      </w:hyperlink>
      <w:r w:rsidRPr="00840378">
        <w:rPr>
          <w:i/>
          <w:sz w:val="18"/>
          <w:szCs w:val="22"/>
          <w:lang w:val="en-US"/>
        </w:rPr>
        <w:t>, where it is stated that the change to eCTD format should preferably be done at the start of a regulatory activity.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30"/>
    <w:multiLevelType w:val="hybridMultilevel"/>
    <w:tmpl w:val="FAD4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A42"/>
    <w:multiLevelType w:val="hybridMultilevel"/>
    <w:tmpl w:val="C52489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6865"/>
    <w:multiLevelType w:val="hybridMultilevel"/>
    <w:tmpl w:val="BE266800"/>
    <w:lvl w:ilvl="0" w:tplc="B0B244E6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5B34"/>
    <w:multiLevelType w:val="hybridMultilevel"/>
    <w:tmpl w:val="620AB9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5">
    <w:nsid w:val="58BF4DE8"/>
    <w:multiLevelType w:val="hybridMultilevel"/>
    <w:tmpl w:val="5CB2AA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4475E"/>
    <w:multiLevelType w:val="hybridMultilevel"/>
    <w:tmpl w:val="5A12E842"/>
    <w:lvl w:ilvl="0" w:tplc="E21ABCB8">
      <w:numFmt w:val="bullet"/>
      <w:lvlText w:val="-"/>
      <w:lvlJc w:val="left"/>
      <w:pPr>
        <w:ind w:left="108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C579E6"/>
    <w:multiLevelType w:val="hybridMultilevel"/>
    <w:tmpl w:val="68ECB9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263B0"/>
    <w:multiLevelType w:val="hybridMultilevel"/>
    <w:tmpl w:val="C52489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Franken">
    <w15:presenceInfo w15:providerId="None" w15:userId="Andreas Fran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A"/>
    <w:rsid w:val="00055A3B"/>
    <w:rsid w:val="000D4C91"/>
    <w:rsid w:val="00125A1E"/>
    <w:rsid w:val="001501FF"/>
    <w:rsid w:val="00174CC0"/>
    <w:rsid w:val="00185F26"/>
    <w:rsid w:val="001D0CA6"/>
    <w:rsid w:val="001D357B"/>
    <w:rsid w:val="001F668E"/>
    <w:rsid w:val="0020521D"/>
    <w:rsid w:val="00223A0B"/>
    <w:rsid w:val="00266F0C"/>
    <w:rsid w:val="0029179A"/>
    <w:rsid w:val="002C749F"/>
    <w:rsid w:val="003063F2"/>
    <w:rsid w:val="00335B16"/>
    <w:rsid w:val="00382461"/>
    <w:rsid w:val="003C33BE"/>
    <w:rsid w:val="003F5A53"/>
    <w:rsid w:val="00415D05"/>
    <w:rsid w:val="00453831"/>
    <w:rsid w:val="00453BFF"/>
    <w:rsid w:val="00453E42"/>
    <w:rsid w:val="00482823"/>
    <w:rsid w:val="00485B5B"/>
    <w:rsid w:val="004C392C"/>
    <w:rsid w:val="004E33FF"/>
    <w:rsid w:val="00511FC6"/>
    <w:rsid w:val="005211C9"/>
    <w:rsid w:val="00556D65"/>
    <w:rsid w:val="00587EFD"/>
    <w:rsid w:val="005B7420"/>
    <w:rsid w:val="005C0337"/>
    <w:rsid w:val="00611936"/>
    <w:rsid w:val="00675DB0"/>
    <w:rsid w:val="006C286A"/>
    <w:rsid w:val="00715840"/>
    <w:rsid w:val="00717F97"/>
    <w:rsid w:val="00751149"/>
    <w:rsid w:val="007718E8"/>
    <w:rsid w:val="00786576"/>
    <w:rsid w:val="007C358A"/>
    <w:rsid w:val="007D55CB"/>
    <w:rsid w:val="00812E79"/>
    <w:rsid w:val="00825987"/>
    <w:rsid w:val="00827FF7"/>
    <w:rsid w:val="00840378"/>
    <w:rsid w:val="00894E16"/>
    <w:rsid w:val="008B6B75"/>
    <w:rsid w:val="008D1C80"/>
    <w:rsid w:val="008E0920"/>
    <w:rsid w:val="008E6FA1"/>
    <w:rsid w:val="008F0D04"/>
    <w:rsid w:val="009129B6"/>
    <w:rsid w:val="00920BC9"/>
    <w:rsid w:val="00942263"/>
    <w:rsid w:val="00966F24"/>
    <w:rsid w:val="009807F5"/>
    <w:rsid w:val="00A26D07"/>
    <w:rsid w:val="00A5712E"/>
    <w:rsid w:val="00A841CE"/>
    <w:rsid w:val="00A95866"/>
    <w:rsid w:val="00AC53AA"/>
    <w:rsid w:val="00AD2622"/>
    <w:rsid w:val="00AD5BEA"/>
    <w:rsid w:val="00AF438D"/>
    <w:rsid w:val="00B20D41"/>
    <w:rsid w:val="00BB33F2"/>
    <w:rsid w:val="00BD09CF"/>
    <w:rsid w:val="00BE786D"/>
    <w:rsid w:val="00BF3F8E"/>
    <w:rsid w:val="00C000EB"/>
    <w:rsid w:val="00C8782C"/>
    <w:rsid w:val="00CA13FA"/>
    <w:rsid w:val="00CB065E"/>
    <w:rsid w:val="00CB6473"/>
    <w:rsid w:val="00CD1A84"/>
    <w:rsid w:val="00D12E95"/>
    <w:rsid w:val="00D14674"/>
    <w:rsid w:val="00D14CBE"/>
    <w:rsid w:val="00D35ADA"/>
    <w:rsid w:val="00D41CB8"/>
    <w:rsid w:val="00D56E37"/>
    <w:rsid w:val="00D74403"/>
    <w:rsid w:val="00D94D54"/>
    <w:rsid w:val="00DD61A6"/>
    <w:rsid w:val="00E1125B"/>
    <w:rsid w:val="00E235E9"/>
    <w:rsid w:val="00E67A2D"/>
    <w:rsid w:val="00E97C78"/>
    <w:rsid w:val="00EA0724"/>
    <w:rsid w:val="00EF7463"/>
    <w:rsid w:val="00F0509B"/>
    <w:rsid w:val="00F15044"/>
    <w:rsid w:val="00F33F45"/>
    <w:rsid w:val="00F413E2"/>
    <w:rsid w:val="00F51F51"/>
    <w:rsid w:val="00F62B7C"/>
    <w:rsid w:val="00F732AF"/>
    <w:rsid w:val="00F751AE"/>
    <w:rsid w:val="00FB3813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E3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A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ADA"/>
    <w:rPr>
      <w:color w:val="0563C1"/>
      <w:u w:val="single"/>
    </w:rPr>
  </w:style>
  <w:style w:type="paragraph" w:customStyle="1" w:styleId="Default">
    <w:name w:val="Default"/>
    <w:basedOn w:val="Normal"/>
    <w:rsid w:val="00D35ADA"/>
    <w:pPr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3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3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D3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ADA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27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7FF7"/>
    <w:rPr>
      <w:rFonts w:ascii="Calibri" w:eastAsiaTheme="minorHAns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827FF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744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403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403"/>
    <w:rPr>
      <w:rFonts w:ascii="Calibri" w:eastAsiaTheme="minorHAns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6F24"/>
    <w:pPr>
      <w:ind w:left="720"/>
      <w:contextualSpacing/>
    </w:pPr>
  </w:style>
  <w:style w:type="paragraph" w:customStyle="1" w:styleId="BodytextAgency">
    <w:name w:val="Body text (Agency)"/>
    <w:basedOn w:val="Normal"/>
    <w:qFormat/>
    <w:rsid w:val="001501FF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1501FF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1501FF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1501F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1501FF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1501FF"/>
    <w:pPr>
      <w:keepNext/>
      <w:numPr>
        <w:numId w:val="17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1501FF"/>
    <w:pPr>
      <w:keepNext/>
      <w:numPr>
        <w:ilvl w:val="1"/>
        <w:numId w:val="17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1501FF"/>
    <w:pPr>
      <w:keepNext/>
      <w:numPr>
        <w:ilvl w:val="2"/>
        <w:numId w:val="17"/>
      </w:numPr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1501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501FF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1501FF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1501FF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1501FF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1501FF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501FF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1501FF"/>
    <w:rPr>
      <w:rFonts w:ascii="Verdana" w:eastAsia="Times New Roman" w:hAnsi="Verdana"/>
      <w:color w:val="FF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A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ADA"/>
    <w:rPr>
      <w:color w:val="0563C1"/>
      <w:u w:val="single"/>
    </w:rPr>
  </w:style>
  <w:style w:type="paragraph" w:customStyle="1" w:styleId="Default">
    <w:name w:val="Default"/>
    <w:basedOn w:val="Normal"/>
    <w:rsid w:val="00D35ADA"/>
    <w:pPr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3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3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D3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ADA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27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7FF7"/>
    <w:rPr>
      <w:rFonts w:ascii="Calibri" w:eastAsiaTheme="minorHAns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827FF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744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403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403"/>
    <w:rPr>
      <w:rFonts w:ascii="Calibri" w:eastAsiaTheme="minorHAns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6F24"/>
    <w:pPr>
      <w:ind w:left="720"/>
      <w:contextualSpacing/>
    </w:pPr>
  </w:style>
  <w:style w:type="paragraph" w:customStyle="1" w:styleId="BodytextAgency">
    <w:name w:val="Body text (Agency)"/>
    <w:basedOn w:val="Normal"/>
    <w:qFormat/>
    <w:rsid w:val="001501FF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1501FF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1501FF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1501F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1501FF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1501FF"/>
    <w:pPr>
      <w:keepNext/>
      <w:numPr>
        <w:numId w:val="17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1501FF"/>
    <w:pPr>
      <w:keepNext/>
      <w:numPr>
        <w:ilvl w:val="1"/>
        <w:numId w:val="17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1501FF"/>
    <w:pPr>
      <w:keepNext/>
      <w:numPr>
        <w:ilvl w:val="2"/>
        <w:numId w:val="17"/>
      </w:numPr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1501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501FF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1501FF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1501FF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1501FF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1501FF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501FF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1501FF"/>
    <w:rPr>
      <w:rFonts w:ascii="Verdana" w:eastAsia="Times New Roman" w:hAnsi="Verdana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ubmission.ema.europa.eu/tiges/cmbdocumentati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ubmission.ema.europa.eu/tiges/cmbdocumentation.htm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ubmission.ema.europa.eu/tiges/cmbdocumentatio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3564-1C93-49DD-9100-5CDA6BA3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19125260</Template>
  <TotalTime>1</TotalTime>
  <Pages>2</Pages>
  <Words>671</Words>
  <Characters>3778</Characters>
  <Application>Microsoft Office Word</Application>
  <DocSecurity>4</DocSecurity>
  <Lines>198</Lines>
  <Paragraphs>143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MPA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Gröndahl</dc:creator>
  <cp:lastModifiedBy>Cruickshank Susan</cp:lastModifiedBy>
  <cp:revision>2</cp:revision>
  <dcterms:created xsi:type="dcterms:W3CDTF">2018-11-22T07:00:00Z</dcterms:created>
  <dcterms:modified xsi:type="dcterms:W3CDTF">2018-11-22T07:00:00Z</dcterms:modified>
</cp:coreProperties>
</file>